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26-271</w:t>
      </w:r>
    </w:p>
    <w:p>
      <w:pPr>
        <w:spacing w:before="0" w:after="0" w:line="480"/>
        <w:ind w:left="120"/>
        <w:jc w:val="left"/>
      </w:pPr>
    </w:p>
    <w:p>
      <w:pPr>
        <w:spacing w:before="0" w:after="0" w:line="480"/>
        <w:ind w:left="120"/>
        <w:jc w:val="center"/>
      </w:pPr>
      <w:r>
        <w:rPr>
          <w:rFonts w:ascii="Times New Roman" w:hAnsi="Times New Roman"/>
          <w:b/>
          <w:i w:val="false"/>
          <w:color w:val="000000"/>
          <w:sz w:val="28"/>
        </w:rPr>
        <w:t>NATURAL RESOURCE COMMISSION[571]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paragraph 51.6(2)“c”</w:t>
      </w:r>
    </w:p>
    <w:p>
      <w:pPr>
        <w:spacing w:before="0" w:after="0" w:line="480"/>
        <w:ind w:left="120"/>
        <w:jc w:val="center"/>
      </w:pPr>
      <w:r>
        <w:rPr>
          <w:rFonts w:ascii="Times New Roman" w:hAnsi="Times New Roman"/>
          <w:b w:val="false"/>
          <w:i w:val="false"/>
          <w:color w:val="000000"/>
          <w:sz w:val="24"/>
        </w:rPr>
        <w:t>“Game Management Areas”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xml:space="preserve">Iowa Code section(s) or chapter(s) authorizing rulemaking: 455A.5(6)“a” and 481A.6 </w:t>
      </w:r>
    </w:p>
    <w:p>
      <w:pPr>
        <w:spacing w:before="0" w:after="0" w:line="480"/>
        <w:ind w:left="120"/>
        <w:jc w:val="both"/>
      </w:pPr>
      <w:r>
        <w:rPr>
          <w:rFonts w:ascii="Times New Roman" w:hAnsi="Times New Roman"/>
          <w:b w:val="false"/>
          <w:i w:val="false"/>
          <w:color w:val="000000"/>
          <w:sz w:val="24"/>
        </w:rPr>
        <w:t>State or federal law(s) implemented by the rulemaking: Iowa Code sections 456A.24(2)“a,” 481A.6 and 481A.39 and 2026 Iowa Acts, Senate File 654</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22, 2026</w:t>
            </w:r>
            <w:r>
              <w:br/>
            </w:r>
            <w:r>
              <w:rPr>
                <w:rFonts w:ascii="Times New Roman" w:hAnsi="Times New Roman"/>
                <w:b w:val="false"/>
                <w:i w:val="false"/>
                <w:color w:val="000000"/>
                <w:sz w:val="14"/>
              </w:rPr>
              <w:t>1 to 2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 Second Floor</w:t>
            </w:r>
            <w:r>
              <w:br/>
            </w:r>
            <w:r>
              <w:rPr>
                <w:rFonts w:ascii="Times New Roman" w:hAnsi="Times New Roman"/>
                <w:b w:val="false"/>
                <w:i w:val="false"/>
                <w:color w:val="000000"/>
                <w:sz w:val="14"/>
              </w:rPr>
              <w:t>Des Moines, Iowa</w:t>
            </w:r>
          </w:p>
        </w:tc>
      </w:tr>
    </w:tbl>
    <w:p>
      <w:pPr>
        <w:pBdr>
          <w:top w:space="5"/>
        </w:pBdr>
        <w:spacing w:before="0" w:after="0" w:line="480"/>
        <w:ind w:left="120"/>
        <w:jc w:val="both"/>
      </w:pPr>
      <w:r>
        <w:rPr>
          <w:rFonts w:ascii="Times New Roman" w:hAnsi="Times New Roman"/>
          <w:b w:val="false"/>
          <w:i w:val="false"/>
          <w:color w:val="000000"/>
          <w:sz w:val="24"/>
        </w:rPr>
        <w:t xml:space="preserve">    Free language assistance: If you need assistance in a language other than English, contact the Department of Natural Resources (Department) at </w:t>
      </w:r>
      <w:hyperlink r:id="rId4">
        <w:r>
          <w:rPr>
            <w:rStyle w:val="Hyperlink"/>
            <w:rFonts w:ascii="Times New Roman" w:hAnsi="Times New Roman"/>
            <w:b w:val="false"/>
            <w:i w:val="false"/>
            <w:color w:val="0000ff"/>
            <w:sz w:val="24"/>
          </w:rPr>
          <w:t>chris.ensminger@dnr.iowa.gov</w:t>
        </w:r>
      </w:hyperlink>
      <w:r>
        <w:rPr>
          <w:rFonts w:ascii="Times New Roman" w:hAnsi="Times New Roman"/>
          <w:b w:val="false"/>
          <w:i w:val="false"/>
          <w:color w:val="000000"/>
          <w:sz w:val="24"/>
        </w:rPr>
        <w:t xml:space="preserve"> or </w:t>
      </w:r>
      <w:hyperlink r:id="rId5">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or by telephone at 515.326.0430 at least seven days before the event.</w:t>
      </w:r>
    </w:p>
    <w:p>
      <w:pPr>
        <w:spacing w:before="0" w:after="0" w:line="480"/>
        <w:ind w:left="120"/>
        <w:jc w:val="both"/>
      </w:pPr>
      <w:r>
        <w:rPr>
          <w:rFonts w:ascii="Times New Roman" w:hAnsi="Times New Roman"/>
          <w:b w:val="false"/>
          <w:i w:val="false"/>
          <w:color w:val="000000"/>
          <w:sz w:val="24"/>
        </w:rPr>
        <w:t xml:space="preserve">    Asistencia lingüística gratuita: Si necesita ayuda en un idioma que no sea inglés, comuníquese con el Departamento al </w:t>
      </w:r>
      <w:hyperlink r:id="rId6">
        <w:r>
          <w:rPr>
            <w:rStyle w:val="Hyperlink"/>
            <w:rFonts w:ascii="Times New Roman" w:hAnsi="Times New Roman"/>
            <w:b w:val="false"/>
            <w:i w:val="false"/>
            <w:color w:val="0000ff"/>
            <w:sz w:val="24"/>
          </w:rPr>
          <w:t>chris.ensminger@dnr.iowa.gov</w:t>
        </w:r>
      </w:hyperlink>
      <w:r>
        <w:rPr>
          <w:rFonts w:ascii="Times New Roman" w:hAnsi="Times New Roman"/>
          <w:b w:val="false"/>
          <w:i w:val="false"/>
          <w:color w:val="000000"/>
          <w:sz w:val="24"/>
        </w:rPr>
        <w:t xml:space="preserve"> o </w:t>
      </w:r>
      <w:hyperlink r:id="rId7">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 por teléfono a 515.326.0430 al menos siete días antes del evento.</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Chris Ensminger</w:t>
            </w:r>
            <w:r>
              <w:br/>
            </w:r>
            <w:r>
              <w:rPr>
                <w:rFonts w:ascii="Times New Roman" w:hAnsi="Times New Roman"/>
                <w:b w:val="false"/>
                <w:i w:val="false"/>
                <w:color w:val="000000"/>
                <w:sz w:val="14"/>
              </w:rPr>
              <w:t>Department of Natural Resources</w:t>
            </w:r>
            <w:r>
              <w:br/>
            </w:r>
            <w:r>
              <w:rPr>
                <w:rFonts w:ascii="Times New Roman" w:hAnsi="Times New Roman"/>
                <w:b w:val="false"/>
                <w:i w:val="false"/>
                <w:color w:val="000000"/>
                <w:sz w:val="14"/>
              </w:rPr>
              <w:t>6200 Park Avenue, Suite 200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Phone: 515.250.6886</w:t>
            </w:r>
            <w:r>
              <w:br/>
            </w:r>
            <w:r>
              <w:rPr>
                <w:rFonts w:ascii="Times New Roman" w:hAnsi="Times New Roman"/>
                <w:b w:val="false"/>
                <w:i w:val="false"/>
                <w:color w:val="000000"/>
                <w:sz w:val="14"/>
              </w:rPr>
              <w:t xml:space="preserve">Email: </w:t>
            </w:r>
            <w:hyperlink r:id="rId8">
              <w:r>
                <w:rPr>
                  <w:rStyle w:val="Hyperlink"/>
                  <w:rFonts w:ascii="Times New Roman" w:hAnsi="Times New Roman"/>
                  <w:b w:val="false"/>
                  <w:i w:val="false"/>
                  <w:color w:val="0000ff"/>
                  <w:sz w:val="14"/>
                </w:rPr>
                <w:t>chris.ensminger@dnr.iowa.gov</w:t>
              </w:r>
            </w:hyperlink>
          </w:p>
        </w:tc>
      </w:tr>
    </w:tbl>
    <w:p>
      <w:pPr>
        <w:pBdr>
          <w:top w:space="5"/>
        </w:pBdr>
        <w:spacing w:before="0" w:after="0" w:line="480"/>
        <w:ind w:left="120"/>
        <w:jc w:val="both"/>
      </w:pPr>
      <w:r>
        <w:rPr>
          <w:rFonts w:ascii="Times New Roman" w:hAnsi="Times New Roman"/>
          <w:b w:val="false"/>
          <w:i w:val="false"/>
          <w:color w:val="000000"/>
          <w:sz w:val="24"/>
        </w:rPr>
        <w:t xml:space="preserve">    Free language assistance: If you speak a non-English language, the Department offers language assistance services free of charge. Contact the Department at </w:t>
      </w:r>
      <w:hyperlink r:id="rId9">
        <w:r>
          <w:rPr>
            <w:rStyle w:val="Hyperlink"/>
            <w:rFonts w:ascii="Times New Roman" w:hAnsi="Times New Roman"/>
            <w:b w:val="false"/>
            <w:i w:val="false"/>
            <w:color w:val="0000ff"/>
            <w:sz w:val="24"/>
          </w:rPr>
          <w:t>chris.ensminger@dnr.iowa.gov</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    Servicios gratuitos de asistencia lingüística: Si habla un idioma que no sea el inglés, los servicios de asistencia lingüística están disponibles de forma gratuita. Comuníquese con el Departamento al </w:t>
      </w:r>
      <w:hyperlink r:id="rId10">
        <w:r>
          <w:rPr>
            <w:rStyle w:val="Hyperlink"/>
            <w:rFonts w:ascii="Times New Roman" w:hAnsi="Times New Roman"/>
            <w:b w:val="false"/>
            <w:i w:val="false"/>
            <w:color w:val="0000ff"/>
            <w:sz w:val="24"/>
          </w:rPr>
          <w:t>chris.ensminger@dnr.iowa.gov</w:t>
        </w:r>
      </w:hyperlink>
      <w:r>
        <w:rPr>
          <w:rFonts w:ascii="Times New Roman" w:hAnsi="Times New Roman"/>
          <w:b w:val="false"/>
          <w:i w:val="false"/>
          <w:color w:val="000000"/>
          <w:sz w:val="24"/>
        </w:rPr>
        <w:t>.</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51 designates the State-owned lands and waters under the jurisdiction of the Natural Resource Commission (Commission) as game management areas (GMAs). This designation helps effect sound wildlife management and preserve biological balance, both of which are required by law. To that end, Chapter 51 contains the allowable uses of GMAs. These use restrictions are established to protect the primary purpose of GMAs, which is to create and protect fish and wildlife habitat and to promote fish- and wildlife-based recreation.</w:t>
      </w:r>
    </w:p>
    <w:p>
      <w:pPr>
        <w:spacing w:before="0" w:after="0" w:line="480"/>
        <w:ind w:left="120"/>
        <w:jc w:val="both"/>
      </w:pPr>
      <w:r>
        <w:rPr>
          <w:rFonts w:ascii="Times New Roman" w:hAnsi="Times New Roman"/>
          <w:b w:val="false"/>
          <w:i w:val="false"/>
          <w:color w:val="000000"/>
          <w:sz w:val="24"/>
        </w:rPr>
        <w:t>    The proposed rulemaking defines labeling requirements for tree stands used for deer hunting on GMAs as required by 2026 Iowa Acts, Senate File 654.</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Deer hunters utilizing tree stands on GMAs will be required to label their stands with a metal tag. These tags are available for sale at numerous retailers for a very low cost (less than $0.25 per tag).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Citizens of Iowa and users of GMAs will benefit. Abandoned, unmarked tree stands have become a common problem on Iowa’s public hunting areas. This rulemaking will help alleviate that problem by establishing an accountable party and providing for a process to remove abandoned stands.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This proposed rulemaking does not impose any financial burdens on the public.</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This proposed rulemaking will help to improve GMA users’ experience by eliminating abandoned tree stands from Iowa’s wild areas.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No additional costs will be borne by the Department or other agencies.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has no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public will bear minimal costs (less than $0.25 per tag) to comply with this proposed rulemaking. This proposed rulemaking will help to improve GMA users’ experience by eliminating abandoned tree stands from Iowa’s wild areas.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 xml:space="preserve">None were considered. This rulemaking is required by Iowa law.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 This rulemaking is required by Iowa law.</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xml:space="preserve">    This proposed rulemaking will not have an impact on small business. </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51.6(2)“c”</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Exception—tree </w:t>
      </w:r>
      <w:r>
        <w:rPr>
          <w:rFonts w:ascii="Times New Roman" w:hAnsi="Times New Roman"/>
          <w:b w:val="false"/>
          <w:i/>
          <w:strike/>
          <w:color w:val="000000"/>
          <w:sz w:val="24"/>
        </w:rPr>
        <w:t>blinds</w:t>
      </w:r>
      <w:r>
        <w:rPr>
          <w:rFonts w:ascii="Times New Roman" w:hAnsi="Times New Roman"/>
          <w:b w:val="false"/>
          <w:i/>
          <w:color w:val="000000"/>
          <w:sz w:val="24"/>
          <w:u w:val="single"/>
        </w:rPr>
        <w:t> </w:t>
      </w:r>
      <w:r>
        <w:rPr>
          <w:rFonts w:ascii="Times New Roman" w:hAnsi="Times New Roman"/>
          <w:b w:val="false"/>
          <w:i/>
          <w:color w:val="000000"/>
          <w:sz w:val="24"/>
          <w:u w:val="single"/>
        </w:rPr>
        <w:t>stands</w:t>
      </w:r>
      <w:r>
        <w:rPr>
          <w:rFonts w:ascii="Times New Roman" w:hAnsi="Times New Roman"/>
          <w:b w:val="false"/>
          <w:i/>
          <w:color w:val="000000"/>
          <w:sz w:val="24"/>
        </w:rPr>
        <w:t xml:space="preserve">. </w:t>
      </w:r>
      <w:r>
        <w:rPr>
          <w:rFonts w:ascii="Times New Roman" w:hAnsi="Times New Roman"/>
          <w:b w:val="false"/>
          <w:i w:val="false"/>
          <w:strike/>
          <w:color w:val="000000"/>
          <w:sz w:val="24"/>
        </w:rPr>
        <w:t>Portable blinds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Tree stands with a metal tag displaying the owner’s DNR customer identification number affixed to it and visible from the ground may be</w:t>
      </w:r>
      <w:r>
        <w:rPr>
          <w:rFonts w:ascii="Times New Roman" w:hAnsi="Times New Roman"/>
          <w:b w:val="false"/>
          <w:i w:val="false"/>
          <w:color w:val="000000"/>
          <w:sz w:val="24"/>
        </w:rPr>
        <w:t xml:space="preserve"> placed in trees and used for </w:t>
      </w:r>
      <w:r>
        <w:rPr>
          <w:rFonts w:ascii="Times New Roman" w:hAnsi="Times New Roman"/>
          <w:b w:val="false"/>
          <w:i w:val="false"/>
          <w:strike/>
          <w:color w:val="000000"/>
          <w:sz w:val="24"/>
        </w:rPr>
        <w:t>purposes other than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deer</w:t>
      </w:r>
      <w:r>
        <w:rPr>
          <w:rFonts w:ascii="Times New Roman" w:hAnsi="Times New Roman"/>
          <w:b w:val="false"/>
          <w:i w:val="false"/>
          <w:color w:val="000000"/>
          <w:sz w:val="24"/>
        </w:rPr>
        <w:t xml:space="preserve"> hunting </w:t>
      </w:r>
      <w:r>
        <w:rPr>
          <w:rFonts w:ascii="Times New Roman" w:hAnsi="Times New Roman"/>
          <w:b w:val="false"/>
          <w:i w:val="false"/>
          <w:strike/>
          <w:color w:val="000000"/>
          <w:sz w:val="24"/>
        </w:rPr>
        <w:t>waterfowl</w:t>
      </w:r>
      <w:r>
        <w:rPr>
          <w:rFonts w:ascii="Times New Roman" w:hAnsi="Times New Roman"/>
          <w:b w:val="false"/>
          <w:i w:val="false"/>
          <w:color w:val="000000"/>
          <w:sz w:val="24"/>
          <w:u w:val="single"/>
        </w:rPr>
        <w:t>. Tree stands</w:t>
      </w:r>
      <w:r>
        <w:rPr>
          <w:rFonts w:ascii="Times New Roman" w:hAnsi="Times New Roman"/>
          <w:b w:val="false"/>
          <w:i w:val="false"/>
          <w:color w:val="000000"/>
          <w:sz w:val="24"/>
        </w:rPr>
        <w:t xml:space="preserve"> may be left on an area for a continuous period of time beginning seven days prior to the open season for hunting deer </w:t>
      </w:r>
      <w:r>
        <w:rPr>
          <w:rFonts w:ascii="Times New Roman" w:hAnsi="Times New Roman"/>
          <w:b w:val="false"/>
          <w:i w:val="false"/>
          <w:strike/>
          <w:color w:val="000000"/>
          <w:sz w:val="24"/>
        </w:rPr>
        <w:t>or turkey</w:t>
      </w:r>
      <w:r>
        <w:rPr>
          <w:rFonts w:ascii="Times New Roman" w:hAnsi="Times New Roman"/>
          <w:b w:val="false"/>
          <w:i w:val="false"/>
          <w:color w:val="000000"/>
          <w:sz w:val="24"/>
        </w:rPr>
        <w:t xml:space="preserve"> and ending seven days after the final day of that open season. </w:t>
      </w:r>
      <w:r>
        <w:rPr>
          <w:rFonts w:ascii="Times New Roman" w:hAnsi="Times New Roman"/>
          <w:b w:val="false"/>
          <w:i w:val="false"/>
          <w:strike/>
          <w:color w:val="000000"/>
          <w:sz w:val="24"/>
        </w:rPr>
        <w:t>Portable blinds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Unlabeled tree stands or stands left after the permissible period will be removed from the game management area by department staff. Tree stands</w:t>
      </w:r>
      <w:r>
        <w:rPr>
          <w:rFonts w:ascii="Times New Roman" w:hAnsi="Times New Roman"/>
          <w:b w:val="false"/>
          <w:i w:val="false"/>
          <w:color w:val="000000"/>
          <w:sz w:val="24"/>
        </w:rPr>
        <w:t xml:space="preserve"> left on game management areas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during the deer season</w:t>
      </w:r>
      <w:r>
        <w:rPr>
          <w:rFonts w:ascii="Times New Roman" w:hAnsi="Times New Roman"/>
          <w:b w:val="false"/>
          <w:i w:val="false"/>
          <w:color w:val="000000"/>
          <w:sz w:val="24"/>
        </w:rPr>
        <w:t xml:space="preserve"> do not guarantee the owner exclusive use of the </w:t>
      </w:r>
      <w:r>
        <w:rPr>
          <w:rFonts w:ascii="Times New Roman" w:hAnsi="Times New Roman"/>
          <w:b w:val="false"/>
          <w:i w:val="false"/>
          <w:strike/>
          <w:color w:val="000000"/>
          <w:sz w:val="24"/>
        </w:rPr>
        <w:t>blind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stand</w:t>
      </w:r>
      <w:r>
        <w:rPr>
          <w:rFonts w:ascii="Times New Roman" w:hAnsi="Times New Roman"/>
          <w:b w:val="false"/>
          <w:i w:val="false"/>
          <w:color w:val="000000"/>
          <w:sz w:val="24"/>
        </w:rPr>
        <w:t xml:space="preserve"> when unattended, or exclusive use of the site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where the stand is placed</w:t>
      </w:r>
      <w:r>
        <w:rPr>
          <w:rFonts w:ascii="Times New Roman" w:hAnsi="Times New Roman"/>
          <w:b w:val="false"/>
          <w:i w:val="false"/>
          <w:color w:val="000000"/>
          <w:sz w:val="24"/>
        </w:rPr>
        <w:t>.</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hris.ensminger@dnr.iowa.gov" Type="http://schemas.openxmlformats.org/officeDocument/2006/relationships/hyperlink" Id="rId4"/>
    <Relationship TargetMode="External" Target="mailto:civilrights@dnr.iowa.gov" Type="http://schemas.openxmlformats.org/officeDocument/2006/relationships/hyperlink" Id="rId5"/>
    <Relationship TargetMode="External" Target="mailto:chris.ensminger@dnr.iowa.gov" Type="http://schemas.openxmlformats.org/officeDocument/2006/relationships/hyperlink" Id="rId6"/>
    <Relationship TargetMode="External" Target="mailto:civilrights@dnr.iowa.gov" Type="http://schemas.openxmlformats.org/officeDocument/2006/relationships/hyperlink" Id="rId7"/>
    <Relationship TargetMode="External" Target="mailto:chris.ensminger@dnr.iowa.gov" Type="http://schemas.openxmlformats.org/officeDocument/2006/relationships/hyperlink" Id="rId8"/>
    <Relationship TargetMode="External" Target="mailto:chris.ensminger@dnr.iowa.gov" Type="http://schemas.openxmlformats.org/officeDocument/2006/relationships/hyperlink" Id="rId9"/>
    <Relationship TargetMode="External" Target="mailto:chris.ensminger@dnr.iowa.gov"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